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rFonts w:ascii="Arial" w:hAnsi="Arial"/>
          <w:b/>
          <w:color w:val="C79A3B"/>
          <w:sz w:val="16"/>
        </w:rPr>
        <w:t>POLICY SUMMARY</w:t>
      </w:r>
    </w:p>
    <w:p>
      <w:pPr>
        <w:spacing w:after="30"/>
        <w:jc w:val="center"/>
      </w:pPr>
      <w:r>
        <w:rPr>
          <w:rFonts w:ascii="Arial" w:hAnsi="Arial"/>
          <w:b/>
          <w:color w:val="102A43"/>
          <w:sz w:val="42"/>
        </w:rPr>
        <w:t>Women’s Wealth Building Initiative</w:t>
      </w:r>
    </w:p>
    <w:p>
      <w:pPr>
        <w:spacing w:after="100"/>
        <w:jc w:val="center"/>
      </w:pPr>
      <w:r>
        <w:rPr>
          <w:rFonts w:ascii="Arial" w:hAnsi="Arial"/>
          <w:b/>
          <w:color w:val="1E5AA8"/>
          <w:sz w:val="21"/>
        </w:rPr>
        <w:t>Build wealth before crisis. Put property in women’s hands. Strengthen families for generations.</w:t>
      </w:r>
    </w:p>
    <w:tbl>
      <w:tblPr>
        <w:tblW w:type="auto" w:w="0"/>
        <w:jc w:val="center"/>
        <w:tblLook w:firstColumn="1" w:firstRow="1" w:lastColumn="0" w:lastRow="0" w:noHBand="0" w:noVBand="1" w:val="04A0"/>
        <w:tblBorders>
          <w:top w:val="single" w:sz="5" w:color="D9E2EC"/>
          <w:left w:val="single" w:sz="5" w:color="D9E2EC"/>
          <w:bottom w:val="single" w:sz="5" w:color="D9E2EC"/>
          <w:right w:val="single" w:sz="5" w:color="D9E2EC"/>
          <w:insideH w:val="single" w:sz="5" w:color="D9E2EC"/>
          <w:insideV w:val="single" w:sz="5" w:color="D9E2EC"/>
        </w:tblBorders>
      </w:tblPr>
      <w:tblGrid>
        <w:gridCol w:w="11030"/>
      </w:tblGrid>
      <w:tr>
        <w:tc>
          <w:tcPr>
            <w:tcW w:type="dxa" w:w="11030"/>
            <w:shd w:fill="EAF2FA"/>
            <w:tcMar>
              <w:top w:w="90" w:type="dxa"/>
              <w:start w:w="130" w:type="dxa"/>
              <w:bottom w:w="90" w:type="dxa"/>
              <w:end w:w="130" w:type="dxa"/>
            </w:tcMar>
          </w:tcPr>
          <w:p>
            <w:pPr>
              <w:spacing w:after="0"/>
            </w:pPr>
            <w:r>
              <w:rPr>
                <w:rFonts w:ascii="Arial" w:hAnsi="Arial"/>
                <w:b/>
                <w:i w:val="0"/>
                <w:color w:val="102A43"/>
                <w:sz w:val="18"/>
              </w:rPr>
              <w:t xml:space="preserve">The idea: </w:t>
            </w:r>
            <w:r>
              <w:rPr>
                <w:rFonts w:ascii="Arial" w:hAnsi="Arial"/>
                <w:b w:val="0"/>
                <w:i w:val="0"/>
                <w:color w:val="1F2937"/>
                <w:sz w:val="18"/>
              </w:rPr>
              <w:t>Instead of waiting until families are in crisis and then paying for repeated assistance, Rhode Island would begin building protected private capital from birth - with the long-term design intentionally placing substantial wealth in women’s hands.</w:t>
            </w:r>
          </w:p>
        </w:tc>
      </w:tr>
    </w:tbl>
    <w:p>
      <w:pPr>
        <w:spacing w:after="20"/>
      </w:pPr>
    </w:p>
    <w:tbl>
      <w:tblPr>
        <w:tblW w:type="auto" w:w="0"/>
        <w:jc w:val="center"/>
        <w:tblLayout w:type="fixed"/>
        <w:tblLook w:firstColumn="1" w:firstRow="1" w:lastColumn="0" w:lastRow="0" w:noHBand="0" w:noVBand="1" w:val="04A0"/>
        <w:tblBorders>
          <w:top w:val="single" w:sz="4" w:color="E0D4BA"/>
          <w:left w:val="single" w:sz="4" w:color="E0D4BA"/>
          <w:bottom w:val="single" w:sz="4" w:color="E0D4BA"/>
          <w:right w:val="single" w:sz="4" w:color="E0D4BA"/>
          <w:insideH w:val="single" w:sz="4" w:color="E0D4BA"/>
          <w:insideV w:val="single" w:sz="4" w:color="E0D4BA"/>
        </w:tblBorders>
      </w:tblPr>
      <w:tblGrid>
        <w:gridCol w:w="2757"/>
        <w:gridCol w:w="2757"/>
        <w:gridCol w:w="2757"/>
        <w:gridCol w:w="2757"/>
      </w:tblGrid>
      <w:tr>
        <w:tc>
          <w:tcPr>
            <w:tcW w:type="dxa" w:w="2621"/>
            <w:shd w:fill="F6EEDB"/>
            <w:tcMar>
              <w:top w:w="75" w:type="dxa"/>
              <w:start w:w="70" w:type="dxa"/>
              <w:bottom w:w="70" w:type="dxa"/>
              <w:end w:w="70" w:type="dxa"/>
            </w:tcMar>
          </w:tcPr>
          <w:p>
            <w:pPr>
              <w:spacing w:after="0"/>
              <w:jc w:val="center"/>
            </w:pPr>
            <w:r>
              <w:rPr>
                <w:rFonts w:ascii="Arial" w:hAnsi="Arial"/>
                <w:b/>
                <w:i w:val="0"/>
                <w:color w:val="102A43"/>
                <w:sz w:val="22"/>
              </w:rPr>
              <w:t>$5,200 / year</w:t>
            </w:r>
          </w:p>
          <w:p>
            <w:pPr>
              <w:spacing w:after="0"/>
              <w:jc w:val="center"/>
            </w:pPr>
            <w:r>
              <w:rPr>
                <w:rFonts w:ascii="Arial" w:hAnsi="Arial"/>
                <w:b w:val="0"/>
                <w:i w:val="0"/>
                <w:color w:val="6B7280"/>
                <w:sz w:val="14"/>
              </w:rPr>
              <w:t>maximum combined annual contribution</w:t>
            </w:r>
          </w:p>
        </w:tc>
        <w:tc>
          <w:tcPr>
            <w:tcW w:type="dxa" w:w="2621"/>
            <w:shd w:fill="FBF8F1"/>
            <w:tcMar>
              <w:top w:w="75" w:type="dxa"/>
              <w:start w:w="70" w:type="dxa"/>
              <w:bottom w:w="70" w:type="dxa"/>
              <w:end w:w="70" w:type="dxa"/>
            </w:tcMar>
          </w:tcPr>
          <w:p>
            <w:pPr>
              <w:spacing w:after="0"/>
              <w:jc w:val="center"/>
            </w:pPr>
            <w:r>
              <w:rPr>
                <w:rFonts w:ascii="Arial" w:hAnsi="Arial"/>
                <w:b/>
                <w:i w:val="0"/>
                <w:color w:val="102A43"/>
                <w:sz w:val="22"/>
              </w:rPr>
              <w:t>18 years</w:t>
            </w:r>
          </w:p>
          <w:p>
            <w:pPr>
              <w:spacing w:after="0"/>
              <w:jc w:val="center"/>
            </w:pPr>
            <w:r>
              <w:rPr>
                <w:rFonts w:ascii="Arial" w:hAnsi="Arial"/>
                <w:b w:val="0"/>
                <w:i w:val="0"/>
                <w:color w:val="6B7280"/>
                <w:sz w:val="14"/>
              </w:rPr>
              <w:t>birth through age 17</w:t>
            </w:r>
          </w:p>
        </w:tc>
        <w:tc>
          <w:tcPr>
            <w:tcW w:type="dxa" w:w="2621"/>
            <w:shd w:fill="F6EEDB"/>
            <w:tcMar>
              <w:top w:w="75" w:type="dxa"/>
              <w:start w:w="70" w:type="dxa"/>
              <w:bottom w:w="70" w:type="dxa"/>
              <w:end w:w="70" w:type="dxa"/>
            </w:tcMar>
          </w:tcPr>
          <w:p>
            <w:pPr>
              <w:spacing w:after="0"/>
              <w:jc w:val="center"/>
            </w:pPr>
            <w:r>
              <w:rPr>
                <w:rFonts w:ascii="Arial" w:hAnsi="Arial"/>
                <w:b/>
                <w:i w:val="0"/>
                <w:color w:val="102A43"/>
                <w:sz w:val="22"/>
              </w:rPr>
              <w:t>≤ $40,000</w:t>
            </w:r>
          </w:p>
          <w:p>
            <w:pPr>
              <w:spacing w:after="0"/>
              <w:jc w:val="center"/>
            </w:pPr>
            <w:r>
              <w:rPr>
                <w:rFonts w:ascii="Arial" w:hAnsi="Arial"/>
                <w:b w:val="0"/>
                <w:i w:val="0"/>
                <w:color w:val="6B7280"/>
                <w:sz w:val="14"/>
              </w:rPr>
              <w:t>state fully funds the account</w:t>
            </w:r>
          </w:p>
        </w:tc>
        <w:tc>
          <w:tcPr>
            <w:tcW w:type="dxa" w:w="2621"/>
            <w:shd w:fill="FBF8F1"/>
            <w:tcMar>
              <w:top w:w="75" w:type="dxa"/>
              <w:start w:w="70" w:type="dxa"/>
              <w:bottom w:w="70" w:type="dxa"/>
              <w:end w:w="70" w:type="dxa"/>
            </w:tcMar>
          </w:tcPr>
          <w:p>
            <w:pPr>
              <w:spacing w:after="0"/>
              <w:jc w:val="center"/>
            </w:pPr>
            <w:r>
              <w:rPr>
                <w:rFonts w:ascii="Arial" w:hAnsi="Arial"/>
                <w:b/>
                <w:i w:val="0"/>
                <w:color w:val="102A43"/>
                <w:sz w:val="22"/>
              </w:rPr>
              <w:t>$200,000</w:t>
            </w:r>
          </w:p>
          <w:p>
            <w:pPr>
              <w:spacing w:after="0"/>
              <w:jc w:val="center"/>
            </w:pPr>
            <w:r>
              <w:rPr>
                <w:rFonts w:ascii="Arial" w:hAnsi="Arial"/>
                <w:b w:val="0"/>
                <w:i w:val="0"/>
                <w:color w:val="6B7280"/>
                <w:sz w:val="14"/>
              </w:rPr>
              <w:t>state contribution phases to zero</w:t>
            </w:r>
          </w:p>
        </w:tc>
      </w:tr>
    </w:tbl>
    <w:p>
      <w:pPr>
        <w:spacing w:after="0"/>
      </w:pPr>
    </w:p>
    <w:tbl>
      <w:tblPr>
        <w:tblW w:type="auto" w:w="0"/>
        <w:jc w:val="center"/>
        <w:tblLayout w:type="fixed"/>
        <w:tblLook w:firstColumn="1" w:firstRow="1" w:lastColumn="0" w:lastRow="0" w:noHBand="0" w:noVBand="1" w:val="04A0"/>
      </w:tblPr>
      <w:tblGrid>
        <w:gridCol w:w="5155"/>
        <w:gridCol w:w="5155"/>
      </w:tblGrid>
      <w:tr>
        <w:tc>
          <w:tcPr>
            <w:tcW w:type="dxa" w:w="5515"/>
            <w:tcMar>
              <w:top w:w="70" w:type="dxa"/>
              <w:start w:w="90" w:type="dxa"/>
              <w:bottom w:w="60" w:type="dxa"/>
              <w:end w:w="110" w:type="dxa"/>
            </w:tcMar>
          </w:tcPr>
          <w:p>
            <w:pPr>
              <w:spacing w:before="40" w:after="60"/>
            </w:pPr>
            <w:r>
              <w:rPr>
                <w:rFonts w:ascii="Arial" w:hAnsi="Arial"/>
                <w:b/>
                <w:color w:val="102A43"/>
                <w:sz w:val="23"/>
              </w:rPr>
              <w:t>HOW THE PROPOSAL WORKS</w:t>
            </w:r>
          </w:p>
          <w:p>
            <w:pPr>
              <w:spacing w:after="46"/>
              <w:ind w:left="144" w:hanging="115"/>
            </w:pPr>
            <w:r>
              <w:rPr>
                <w:rFonts w:ascii="Arial" w:hAnsi="Arial"/>
                <w:b/>
                <w:i w:val="0"/>
                <w:color w:val="C79A3B"/>
                <w:sz w:val="17"/>
              </w:rPr>
              <w:t xml:space="preserve">• </w:t>
            </w:r>
            <w:r>
              <w:rPr>
                <w:rFonts w:ascii="Arial" w:hAnsi="Arial"/>
                <w:b/>
                <w:i w:val="0"/>
                <w:color w:val="1F2937"/>
                <w:sz w:val="17"/>
              </w:rPr>
              <w:t xml:space="preserve">Every eligible child gets a protected capital account. </w:t>
            </w:r>
            <w:r>
              <w:rPr>
                <w:rFonts w:ascii="Arial" w:hAnsi="Arial"/>
                <w:b w:val="0"/>
                <w:i w:val="0"/>
                <w:color w:val="1F2937"/>
                <w:sz w:val="17"/>
              </w:rPr>
              <w:t>Money is invested rather than treated as ordinary spending money.</w:t>
            </w:r>
          </w:p>
          <w:p>
            <w:pPr>
              <w:spacing w:after="46"/>
              <w:ind w:left="144" w:hanging="115"/>
            </w:pPr>
            <w:r>
              <w:rPr>
                <w:rFonts w:ascii="Arial" w:hAnsi="Arial"/>
                <w:b/>
                <w:i w:val="0"/>
                <w:color w:val="C79A3B"/>
                <w:sz w:val="17"/>
              </w:rPr>
              <w:t xml:space="preserve">• </w:t>
            </w:r>
            <w:r>
              <w:rPr>
                <w:rFonts w:ascii="Arial" w:hAnsi="Arial"/>
                <w:b/>
                <w:i w:val="0"/>
                <w:color w:val="1F2937"/>
                <w:sz w:val="17"/>
              </w:rPr>
              <w:t xml:space="preserve">Funding follows a sliding scale. </w:t>
            </w:r>
            <w:r>
              <w:rPr>
                <w:rFonts w:ascii="Arial" w:hAnsi="Arial"/>
                <w:b w:val="0"/>
                <w:i w:val="0"/>
                <w:color w:val="1F2937"/>
                <w:sz w:val="17"/>
              </w:rPr>
              <w:t>The state fully funds the $5,200 annual contribution for family income up to $40,000, then gradually phases out the state share until it reaches zero at $200,000.</w:t>
            </w:r>
          </w:p>
          <w:p>
            <w:pPr>
              <w:spacing w:after="46"/>
              <w:ind w:left="144" w:hanging="115"/>
            </w:pPr>
            <w:r>
              <w:rPr>
                <w:rFonts w:ascii="Arial" w:hAnsi="Arial"/>
                <w:b/>
                <w:i w:val="0"/>
                <w:color w:val="C79A3B"/>
                <w:sz w:val="17"/>
              </w:rPr>
              <w:t xml:space="preserve">• </w:t>
            </w:r>
            <w:r>
              <w:rPr>
                <w:rFonts w:ascii="Arial" w:hAnsi="Arial"/>
                <w:b/>
                <w:i w:val="0"/>
                <w:color w:val="1F2937"/>
                <w:sz w:val="17"/>
              </w:rPr>
              <w:t xml:space="preserve">Women keep their own accounts. </w:t>
            </w:r>
            <w:r>
              <w:rPr>
                <w:rFonts w:ascii="Arial" w:hAnsi="Arial"/>
                <w:b w:val="0"/>
                <w:i w:val="0"/>
                <w:color w:val="1F2937"/>
                <w:sz w:val="17"/>
              </w:rPr>
              <w:t>Approved uses may include a home, business, education or training, work-related transportation, qualifying health needs, support during early motherhood, and retirement.</w:t>
            </w:r>
          </w:p>
          <w:p>
            <w:pPr>
              <w:spacing w:after="46"/>
              <w:ind w:left="144" w:hanging="115"/>
            </w:pPr>
            <w:r>
              <w:rPr>
                <w:rFonts w:ascii="Arial" w:hAnsi="Arial"/>
                <w:b/>
                <w:i w:val="0"/>
                <w:color w:val="C79A3B"/>
                <w:sz w:val="17"/>
              </w:rPr>
              <w:t xml:space="preserve">• </w:t>
            </w:r>
            <w:r>
              <w:rPr>
                <w:rFonts w:ascii="Arial" w:hAnsi="Arial"/>
                <w:b/>
                <w:i w:val="0"/>
                <w:color w:val="1F2937"/>
                <w:sz w:val="17"/>
              </w:rPr>
              <w:t xml:space="preserve">Men have only two outcomes. </w:t>
            </w:r>
            <w:r>
              <w:rPr>
                <w:rFonts w:ascii="Arial" w:hAnsi="Arial"/>
                <w:b w:val="0"/>
                <w:i w:val="0"/>
                <w:color w:val="1F2937"/>
                <w:sz w:val="17"/>
              </w:rPr>
              <w:t>If a man never fathers a child, the account remains invested for retirement. If he fathers a child, the remaining account value transfers to the mother of his first child when she gives birth.</w:t>
            </w:r>
          </w:p>
          <w:p>
            <w:pPr>
              <w:spacing w:after="46"/>
              <w:ind w:left="144" w:hanging="115"/>
            </w:pPr>
            <w:r>
              <w:rPr>
                <w:rFonts w:ascii="Arial" w:hAnsi="Arial"/>
                <w:b/>
                <w:i w:val="0"/>
                <w:color w:val="C79A3B"/>
                <w:sz w:val="17"/>
              </w:rPr>
              <w:t xml:space="preserve">• </w:t>
            </w:r>
            <w:r>
              <w:rPr>
                <w:rFonts w:ascii="Arial" w:hAnsi="Arial"/>
                <w:b/>
                <w:i w:val="0"/>
                <w:color w:val="1F2937"/>
                <w:sz w:val="17"/>
              </w:rPr>
              <w:t xml:space="preserve">The transfer is not child support. </w:t>
            </w:r>
            <w:r>
              <w:rPr>
                <w:rFonts w:ascii="Arial" w:hAnsi="Arial"/>
                <w:b w:val="0"/>
                <w:i w:val="0"/>
                <w:color w:val="1F2937"/>
                <w:sz w:val="17"/>
              </w:rPr>
              <w:t>It is designed as tribute to the mother for the physical burden of pregnancy and childbirth.</w:t>
            </w:r>
          </w:p>
          <w:p>
            <w:pPr>
              <w:spacing w:after="46"/>
              <w:ind w:left="144" w:hanging="115"/>
            </w:pPr>
            <w:r>
              <w:rPr>
                <w:rFonts w:ascii="Arial" w:hAnsi="Arial"/>
                <w:b/>
                <w:i w:val="0"/>
                <w:color w:val="C79A3B"/>
                <w:sz w:val="17"/>
              </w:rPr>
              <w:t xml:space="preserve">• </w:t>
            </w:r>
            <w:r>
              <w:rPr>
                <w:rFonts w:ascii="Arial" w:hAnsi="Arial"/>
                <w:b/>
                <w:i w:val="0"/>
                <w:color w:val="1F2937"/>
                <w:sz w:val="17"/>
              </w:rPr>
              <w:t xml:space="preserve">Illustrative investment result. </w:t>
            </w:r>
            <w:r>
              <w:rPr>
                <w:rFonts w:ascii="Arial" w:hAnsi="Arial"/>
                <w:b w:val="0"/>
                <w:i w:val="0"/>
                <w:color w:val="1F2937"/>
                <w:sz w:val="17"/>
              </w:rPr>
              <w:t>Eighteen $5,200 deposits total $93,600. At the model’s assumed 7% nominal return, the account reaches about $187,000 at age 18. Investment returns are not guaranteed.</w:t>
            </w:r>
          </w:p>
        </w:tc>
        <w:tc>
          <w:tcPr>
            <w:tcW w:type="dxa" w:w="5515"/>
            <w:tcMar>
              <w:top w:w="70" w:type="dxa"/>
              <w:start w:w="110" w:type="dxa"/>
              <w:bottom w:w="60" w:type="dxa"/>
              <w:end w:w="90" w:type="dxa"/>
            </w:tcMar>
          </w:tcPr>
          <w:p>
            <w:pPr>
              <w:spacing w:before="40" w:after="60"/>
            </w:pPr>
            <w:r>
              <w:rPr>
                <w:rFonts w:ascii="Arial" w:hAnsi="Arial"/>
                <w:b/>
                <w:color w:val="102A43"/>
                <w:sz w:val="23"/>
              </w:rPr>
              <w:t>WHY THIS IS DIFFERENT</w:t>
            </w:r>
          </w:p>
          <w:p>
            <w:pPr>
              <w:spacing w:after="60"/>
            </w:pPr>
            <w:r>
              <w:rPr>
                <w:rFonts w:ascii="Arial" w:hAnsi="Arial"/>
                <w:b/>
                <w:i w:val="0"/>
                <w:color w:val="1F2937"/>
                <w:sz w:val="17"/>
              </w:rPr>
              <w:t xml:space="preserve">The central policy choice is ownership, not simply income support. </w:t>
            </w:r>
            <w:r>
              <w:rPr>
                <w:rFonts w:ascii="Arial" w:hAnsi="Arial"/>
                <w:b w:val="0"/>
                <w:i w:val="0"/>
                <w:color w:val="1F2937"/>
                <w:sz w:val="17"/>
              </w:rPr>
              <w:t>The proposal asks whether assets held in women’s own names - homes, businesses, savings and investments - can give families more resilience before poverty, housing instability, or other crises occur.</w:t>
            </w:r>
          </w:p>
          <w:p>
            <w:pPr>
              <w:spacing w:after="60" w:before="40"/>
            </w:pPr>
            <w:r>
              <w:rPr>
                <w:rFonts w:ascii="Arial" w:hAnsi="Arial"/>
                <w:b/>
                <w:color w:val="102A43"/>
                <w:sz w:val="21"/>
              </w:rPr>
              <w:t>RHODE ISLAND ALREADY HAS A STARTING POINT</w:t>
            </w:r>
          </w:p>
          <w:p>
            <w:pPr>
              <w:spacing w:after="60"/>
            </w:pPr>
            <w:r>
              <w:rPr>
                <w:rFonts w:ascii="Arial" w:hAnsi="Arial"/>
                <w:b w:val="0"/>
                <w:i w:val="0"/>
                <w:color w:val="1F2937"/>
                <w:sz w:val="17"/>
              </w:rPr>
              <w:t>Rhode Island enacted the Baby Bond Trust in 2025. Current law creates a $3,000 trust allocation for qualifying children born on or after January 1, 2026 whose parent or guardian enters RI Works during the child’s first year. The Treasurer may invest the trust for approved wealth-building uses such as education, homeownership, business ownership and other long-term investments. Treasury says the program will launch once adequate funding is secured and is seeking private and philanthropic partners.</w:t>
            </w:r>
          </w:p>
          <w:p>
            <w:pPr>
              <w:spacing w:after="60" w:before="40"/>
            </w:pPr>
            <w:r>
              <w:rPr>
                <w:rFonts w:ascii="Arial" w:hAnsi="Arial"/>
                <w:b/>
                <w:color w:val="102A43"/>
                <w:sz w:val="21"/>
              </w:rPr>
              <w:t>HOW THE MODEL IS FINANCED</w:t>
            </w:r>
          </w:p>
          <w:p>
            <w:pPr>
              <w:spacing w:after="20"/>
            </w:pPr>
            <w:r>
              <w:rPr>
                <w:rFonts w:ascii="Arial" w:hAnsi="Arial"/>
                <w:b w:val="0"/>
                <w:i w:val="0"/>
                <w:color w:val="1F2937"/>
                <w:sz w:val="17"/>
              </w:rPr>
              <w:t>The fiscal workbook tests combinations of state and family contributions, employer deposits, banks and philanthropy, federal asset-building funds, lottery revenue, recycled state/local savings, and a possible future federal savings-sharing agreement. These are modeled options, not enacted commitments.</w:t>
            </w:r>
          </w:p>
        </w:tc>
      </w:tr>
    </w:tbl>
    <w:p>
      <w:pPr>
        <w:spacing w:after="0"/>
      </w:pPr>
    </w:p>
    <w:p>
      <w:pPr>
        <w:spacing w:before="40" w:after="60"/>
      </w:pPr>
      <w:r>
        <w:rPr>
          <w:rFonts w:ascii="Arial" w:hAnsi="Arial"/>
          <w:b/>
          <w:color w:val="102A43"/>
          <w:sz w:val="23"/>
        </w:rPr>
        <w:t>WHAT THE FISCAL MODEL SHOWS</w:t>
      </w:r>
    </w:p>
    <w:tbl>
      <w:tblPr>
        <w:tblW w:type="auto" w:w="0"/>
        <w:jc w:val="center"/>
        <w:tblLayout w:type="fixed"/>
        <w:tblLook w:firstColumn="1" w:firstRow="1" w:lastColumn="0" w:lastRow="0" w:noHBand="0" w:noVBand="1" w:val="04A0"/>
        <w:tblBorders>
          <w:top w:val="single" w:sz="4" w:color="D8E0E8"/>
          <w:left w:val="single" w:sz="4" w:color="D8E0E8"/>
          <w:bottom w:val="single" w:sz="4" w:color="D8E0E8"/>
          <w:right w:val="single" w:sz="4" w:color="D8E0E8"/>
          <w:insideH w:val="single" w:sz="4" w:color="D8E0E8"/>
          <w:insideV w:val="single" w:sz="4" w:color="D8E0E8"/>
        </w:tblBorders>
      </w:tblPr>
      <w:tblGrid>
        <w:gridCol w:w="2206"/>
        <w:gridCol w:w="2206"/>
        <w:gridCol w:w="2206"/>
        <w:gridCol w:w="2206"/>
        <w:gridCol w:w="2206"/>
      </w:tblGrid>
      <w:tr>
        <w:tc>
          <w:tcPr>
            <w:tcW w:type="dxa" w:w="2206"/>
            <w:shd w:fill="102A43"/>
            <w:tcMar>
              <w:top w:w="55" w:type="dxa"/>
              <w:start w:w="45" w:type="dxa"/>
              <w:bottom w:w="55" w:type="dxa"/>
              <w:end w:w="45" w:type="dxa"/>
            </w:tcMar>
          </w:tcPr>
          <w:p>
            <w:pPr>
              <w:jc w:val="center"/>
            </w:pPr>
            <w:r>
              <w:rPr>
                <w:rFonts w:ascii="Arial" w:hAnsi="Arial"/>
                <w:b/>
                <w:i w:val="0"/>
                <w:color w:val="FFFFFF"/>
                <w:sz w:val="14"/>
              </w:rPr>
              <w:t>Scenario</w:t>
            </w:r>
          </w:p>
        </w:tc>
        <w:tc>
          <w:tcPr>
            <w:tcW w:type="dxa" w:w="2206"/>
            <w:shd w:fill="102A43"/>
            <w:tcMar>
              <w:top w:w="55" w:type="dxa"/>
              <w:start w:w="45" w:type="dxa"/>
              <w:bottom w:w="55" w:type="dxa"/>
              <w:end w:w="45" w:type="dxa"/>
            </w:tcMar>
          </w:tcPr>
          <w:p>
            <w:pPr>
              <w:jc w:val="center"/>
            </w:pPr>
            <w:r>
              <w:rPr>
                <w:rFonts w:ascii="Arial" w:hAnsi="Arial"/>
                <w:b/>
                <w:i w:val="0"/>
                <w:color w:val="FFFFFF"/>
                <w:sz w:val="14"/>
              </w:rPr>
              <w:t>Annual public</w:t>
              <w:br/>
              <w:t>break-even</w:t>
            </w:r>
          </w:p>
        </w:tc>
        <w:tc>
          <w:tcPr>
            <w:tcW w:type="dxa" w:w="2206"/>
            <w:shd w:fill="102A43"/>
            <w:tcMar>
              <w:top w:w="55" w:type="dxa"/>
              <w:start w:w="45" w:type="dxa"/>
              <w:bottom w:w="55" w:type="dxa"/>
              <w:end w:w="45" w:type="dxa"/>
            </w:tcMar>
          </w:tcPr>
          <w:p>
            <w:pPr>
              <w:jc w:val="center"/>
            </w:pPr>
            <w:r>
              <w:rPr>
                <w:rFonts w:ascii="Arial" w:hAnsi="Arial"/>
                <w:b/>
                <w:i w:val="0"/>
                <w:color w:val="FFFFFF"/>
                <w:sz w:val="14"/>
              </w:rPr>
              <w:t>Cumulative public</w:t>
              <w:br/>
              <w:t>payback</w:t>
            </w:r>
          </w:p>
        </w:tc>
        <w:tc>
          <w:tcPr>
            <w:tcW w:type="dxa" w:w="2206"/>
            <w:shd w:fill="102A43"/>
            <w:tcMar>
              <w:top w:w="55" w:type="dxa"/>
              <w:start w:w="45" w:type="dxa"/>
              <w:bottom w:w="55" w:type="dxa"/>
              <w:end w:w="45" w:type="dxa"/>
            </w:tcMar>
          </w:tcPr>
          <w:p>
            <w:pPr>
              <w:jc w:val="center"/>
            </w:pPr>
            <w:r>
              <w:rPr>
                <w:rFonts w:ascii="Arial" w:hAnsi="Arial"/>
                <w:b/>
                <w:i w:val="0"/>
                <w:color w:val="FFFFFF"/>
                <w:sz w:val="14"/>
              </w:rPr>
              <w:t>Annual RI break-even*</w:t>
              <w:br/>
            </w:r>
          </w:p>
        </w:tc>
        <w:tc>
          <w:tcPr>
            <w:tcW w:type="dxa" w:w="2206"/>
            <w:shd w:fill="102A43"/>
            <w:tcMar>
              <w:top w:w="55" w:type="dxa"/>
              <w:start w:w="45" w:type="dxa"/>
              <w:bottom w:w="55" w:type="dxa"/>
              <w:end w:w="45" w:type="dxa"/>
            </w:tcMar>
          </w:tcPr>
          <w:p>
            <w:pPr>
              <w:jc w:val="center"/>
            </w:pPr>
            <w:r>
              <w:rPr>
                <w:rFonts w:ascii="Arial" w:hAnsi="Arial"/>
                <w:b/>
                <w:i w:val="0"/>
                <w:color w:val="FFFFFF"/>
                <w:sz w:val="14"/>
              </w:rPr>
              <w:t>Cumulative RI</w:t>
              <w:br/>
              <w:t>payback*</w:t>
            </w:r>
          </w:p>
        </w:tc>
      </w:tr>
      <w:tr>
        <w:tc>
          <w:tcPr>
            <w:tcW w:type="dxa" w:w="2206"/>
            <w:shd w:fill="F7F9FC"/>
            <w:tcMar>
              <w:top w:w="48" w:type="dxa"/>
              <w:start w:w="40" w:type="dxa"/>
              <w:bottom w:w="48" w:type="dxa"/>
              <w:end w:w="40" w:type="dxa"/>
            </w:tcMar>
          </w:tcPr>
          <w:p>
            <w:pPr>
              <w:jc w:val="center"/>
            </w:pPr>
            <w:r>
              <w:rPr>
                <w:rFonts w:ascii="Arial" w:hAnsi="Arial"/>
                <w:b/>
                <w:i w:val="0"/>
                <w:color w:val="102A43"/>
                <w:sz w:val="14"/>
              </w:rPr>
              <w:t>High</w:t>
            </w:r>
          </w:p>
        </w:tc>
        <w:tc>
          <w:tcPr>
            <w:tcW w:type="dxa" w:w="2206"/>
            <w:shd w:fill="F7F9FC"/>
            <w:tcMar>
              <w:top w:w="48" w:type="dxa"/>
              <w:start w:w="40" w:type="dxa"/>
              <w:bottom w:w="48" w:type="dxa"/>
              <w:end w:w="40" w:type="dxa"/>
            </w:tcMar>
          </w:tcPr>
          <w:p>
            <w:pPr>
              <w:jc w:val="center"/>
            </w:pPr>
            <w:r>
              <w:rPr>
                <w:rFonts w:ascii="Arial" w:hAnsi="Arial"/>
                <w:b w:val="0"/>
                <w:i w:val="0"/>
                <w:color w:val="1F2937"/>
                <w:sz w:val="14"/>
              </w:rPr>
              <w:t>Year 39</w:t>
            </w:r>
          </w:p>
        </w:tc>
        <w:tc>
          <w:tcPr>
            <w:tcW w:type="dxa" w:w="2206"/>
            <w:shd w:fill="F7F9FC"/>
            <w:tcMar>
              <w:top w:w="48" w:type="dxa"/>
              <w:start w:w="40" w:type="dxa"/>
              <w:bottom w:w="48" w:type="dxa"/>
              <w:end w:w="40" w:type="dxa"/>
            </w:tcMar>
          </w:tcPr>
          <w:p>
            <w:pPr>
              <w:jc w:val="center"/>
            </w:pPr>
            <w:r>
              <w:rPr>
                <w:rFonts w:ascii="Arial" w:hAnsi="Arial"/>
                <w:b w:val="0"/>
                <w:i w:val="0"/>
                <w:color w:val="1F2937"/>
                <w:sz w:val="14"/>
              </w:rPr>
              <w:t>Year 115</w:t>
            </w:r>
          </w:p>
        </w:tc>
        <w:tc>
          <w:tcPr>
            <w:tcW w:type="dxa" w:w="2206"/>
            <w:shd w:fill="F7F9FC"/>
            <w:tcMar>
              <w:top w:w="48" w:type="dxa"/>
              <w:start w:w="40" w:type="dxa"/>
              <w:bottom w:w="48" w:type="dxa"/>
              <w:end w:w="40" w:type="dxa"/>
            </w:tcMar>
          </w:tcPr>
          <w:p>
            <w:pPr>
              <w:jc w:val="center"/>
            </w:pPr>
            <w:r>
              <w:rPr>
                <w:rFonts w:ascii="Arial" w:hAnsi="Arial"/>
                <w:b w:val="0"/>
                <w:i w:val="0"/>
                <w:color w:val="1F2937"/>
                <w:sz w:val="14"/>
              </w:rPr>
              <w:t>Not by Year 150</w:t>
            </w:r>
          </w:p>
        </w:tc>
        <w:tc>
          <w:tcPr>
            <w:tcW w:type="dxa" w:w="2206"/>
            <w:shd w:fill="F7F9FC"/>
            <w:tcMar>
              <w:top w:w="48" w:type="dxa"/>
              <w:start w:w="40" w:type="dxa"/>
              <w:bottom w:w="48" w:type="dxa"/>
              <w:end w:w="40" w:type="dxa"/>
            </w:tcMar>
          </w:tcPr>
          <w:p>
            <w:pPr>
              <w:jc w:val="center"/>
            </w:pPr>
            <w:r>
              <w:rPr>
                <w:rFonts w:ascii="Arial" w:hAnsi="Arial"/>
                <w:b w:val="0"/>
                <w:i w:val="0"/>
                <w:color w:val="1F2937"/>
                <w:sz w:val="14"/>
              </w:rPr>
              <w:t>Not by Year 150</w:t>
            </w:r>
          </w:p>
        </w:tc>
      </w:tr>
      <w:tr>
        <w:tc>
          <w:tcPr>
            <w:tcW w:type="dxa" w:w="2206"/>
            <w:shd w:fill="FFFFFF"/>
            <w:tcMar>
              <w:top w:w="48" w:type="dxa"/>
              <w:start w:w="40" w:type="dxa"/>
              <w:bottom w:w="48" w:type="dxa"/>
              <w:end w:w="40" w:type="dxa"/>
            </w:tcMar>
          </w:tcPr>
          <w:p>
            <w:pPr>
              <w:jc w:val="center"/>
            </w:pPr>
            <w:r>
              <w:rPr>
                <w:rFonts w:ascii="Arial" w:hAnsi="Arial"/>
                <w:b/>
                <w:i w:val="0"/>
                <w:color w:val="102A43"/>
                <w:sz w:val="14"/>
              </w:rPr>
              <w:t>Transformational</w:t>
            </w:r>
          </w:p>
        </w:tc>
        <w:tc>
          <w:tcPr>
            <w:tcW w:type="dxa" w:w="2206"/>
            <w:shd w:fill="FFFFFF"/>
            <w:tcMar>
              <w:top w:w="48" w:type="dxa"/>
              <w:start w:w="40" w:type="dxa"/>
              <w:bottom w:w="48" w:type="dxa"/>
              <w:end w:w="40" w:type="dxa"/>
            </w:tcMar>
          </w:tcPr>
          <w:p>
            <w:pPr>
              <w:jc w:val="center"/>
            </w:pPr>
            <w:r>
              <w:rPr>
                <w:rFonts w:ascii="Arial" w:hAnsi="Arial"/>
                <w:b w:val="0"/>
                <w:i w:val="0"/>
                <w:color w:val="1F2937"/>
                <w:sz w:val="14"/>
              </w:rPr>
              <w:t>Year 34</w:t>
            </w:r>
          </w:p>
        </w:tc>
        <w:tc>
          <w:tcPr>
            <w:tcW w:type="dxa" w:w="2206"/>
            <w:shd w:fill="FFFFFF"/>
            <w:tcMar>
              <w:top w:w="48" w:type="dxa"/>
              <w:start w:w="40" w:type="dxa"/>
              <w:bottom w:w="48" w:type="dxa"/>
              <w:end w:w="40" w:type="dxa"/>
            </w:tcMar>
          </w:tcPr>
          <w:p>
            <w:pPr>
              <w:jc w:val="center"/>
            </w:pPr>
            <w:r>
              <w:rPr>
                <w:rFonts w:ascii="Arial" w:hAnsi="Arial"/>
                <w:b w:val="0"/>
                <w:i w:val="0"/>
                <w:color w:val="1F2937"/>
                <w:sz w:val="14"/>
              </w:rPr>
              <w:t>Year 60</w:t>
            </w:r>
          </w:p>
        </w:tc>
        <w:tc>
          <w:tcPr>
            <w:tcW w:type="dxa" w:w="2206"/>
            <w:shd w:fill="FFFFFF"/>
            <w:tcMar>
              <w:top w:w="48" w:type="dxa"/>
              <w:start w:w="40" w:type="dxa"/>
              <w:bottom w:w="48" w:type="dxa"/>
              <w:end w:w="40" w:type="dxa"/>
            </w:tcMar>
          </w:tcPr>
          <w:p>
            <w:pPr>
              <w:jc w:val="center"/>
            </w:pPr>
            <w:r>
              <w:rPr>
                <w:rFonts w:ascii="Arial" w:hAnsi="Arial"/>
                <w:b w:val="0"/>
                <w:i w:val="0"/>
                <w:color w:val="1F2937"/>
                <w:sz w:val="14"/>
              </w:rPr>
              <w:t>Year 41</w:t>
            </w:r>
          </w:p>
        </w:tc>
        <w:tc>
          <w:tcPr>
            <w:tcW w:type="dxa" w:w="2206"/>
            <w:shd w:fill="FFFFFF"/>
            <w:tcMar>
              <w:top w:w="48" w:type="dxa"/>
              <w:start w:w="40" w:type="dxa"/>
              <w:bottom w:w="48" w:type="dxa"/>
              <w:end w:w="40" w:type="dxa"/>
            </w:tcMar>
          </w:tcPr>
          <w:p>
            <w:pPr>
              <w:jc w:val="center"/>
            </w:pPr>
            <w:r>
              <w:rPr>
                <w:rFonts w:ascii="Arial" w:hAnsi="Arial"/>
                <w:b w:val="0"/>
                <w:i w:val="0"/>
                <w:color w:val="1F2937"/>
                <w:sz w:val="14"/>
              </w:rPr>
              <w:t>Not by Year 150</w:t>
            </w:r>
          </w:p>
        </w:tc>
      </w:tr>
      <w:tr>
        <w:tc>
          <w:tcPr>
            <w:tcW w:type="dxa" w:w="2206"/>
            <w:shd w:fill="F7F9FC"/>
            <w:tcMar>
              <w:top w:w="48" w:type="dxa"/>
              <w:start w:w="40" w:type="dxa"/>
              <w:bottom w:w="48" w:type="dxa"/>
              <w:end w:w="40" w:type="dxa"/>
            </w:tcMar>
          </w:tcPr>
          <w:p>
            <w:pPr>
              <w:jc w:val="center"/>
            </w:pPr>
            <w:r>
              <w:rPr>
                <w:rFonts w:ascii="Arial" w:hAnsi="Arial"/>
                <w:b/>
                <w:i w:val="0"/>
                <w:color w:val="102A43"/>
                <w:sz w:val="14"/>
              </w:rPr>
              <w:t>Full Asset Sufficiency</w:t>
            </w:r>
          </w:p>
        </w:tc>
        <w:tc>
          <w:tcPr>
            <w:tcW w:type="dxa" w:w="2206"/>
            <w:shd w:fill="F7F9FC"/>
            <w:tcMar>
              <w:top w:w="48" w:type="dxa"/>
              <w:start w:w="40" w:type="dxa"/>
              <w:bottom w:w="48" w:type="dxa"/>
              <w:end w:w="40" w:type="dxa"/>
            </w:tcMar>
          </w:tcPr>
          <w:p>
            <w:pPr>
              <w:jc w:val="center"/>
            </w:pPr>
            <w:r>
              <w:rPr>
                <w:rFonts w:ascii="Arial" w:hAnsi="Arial"/>
                <w:b w:val="0"/>
                <w:i w:val="0"/>
                <w:color w:val="1F2937"/>
                <w:sz w:val="14"/>
              </w:rPr>
              <w:t>Year 32</w:t>
            </w:r>
          </w:p>
        </w:tc>
        <w:tc>
          <w:tcPr>
            <w:tcW w:type="dxa" w:w="2206"/>
            <w:shd w:fill="F7F9FC"/>
            <w:tcMar>
              <w:top w:w="48" w:type="dxa"/>
              <w:start w:w="40" w:type="dxa"/>
              <w:bottom w:w="48" w:type="dxa"/>
              <w:end w:w="40" w:type="dxa"/>
            </w:tcMar>
          </w:tcPr>
          <w:p>
            <w:pPr>
              <w:jc w:val="center"/>
            </w:pPr>
            <w:r>
              <w:rPr>
                <w:rFonts w:ascii="Arial" w:hAnsi="Arial"/>
                <w:b w:val="0"/>
                <w:i w:val="0"/>
                <w:color w:val="1F2937"/>
                <w:sz w:val="14"/>
              </w:rPr>
              <w:t>Year 48</w:t>
            </w:r>
          </w:p>
        </w:tc>
        <w:tc>
          <w:tcPr>
            <w:tcW w:type="dxa" w:w="2206"/>
            <w:shd w:fill="F7F9FC"/>
            <w:tcMar>
              <w:top w:w="48" w:type="dxa"/>
              <w:start w:w="40" w:type="dxa"/>
              <w:bottom w:w="48" w:type="dxa"/>
              <w:end w:w="40" w:type="dxa"/>
            </w:tcMar>
          </w:tcPr>
          <w:p>
            <w:pPr>
              <w:jc w:val="center"/>
            </w:pPr>
            <w:r>
              <w:rPr>
                <w:rFonts w:ascii="Arial" w:hAnsi="Arial"/>
                <w:b w:val="0"/>
                <w:i w:val="0"/>
                <w:color w:val="1F2937"/>
                <w:sz w:val="14"/>
              </w:rPr>
              <w:t>Year 36</w:t>
            </w:r>
          </w:p>
        </w:tc>
        <w:tc>
          <w:tcPr>
            <w:tcW w:type="dxa" w:w="2206"/>
            <w:shd w:fill="F7F9FC"/>
            <w:tcMar>
              <w:top w:w="48" w:type="dxa"/>
              <w:start w:w="40" w:type="dxa"/>
              <w:bottom w:w="48" w:type="dxa"/>
              <w:end w:w="40" w:type="dxa"/>
            </w:tcMar>
          </w:tcPr>
          <w:p>
            <w:pPr>
              <w:jc w:val="center"/>
            </w:pPr>
            <w:r>
              <w:rPr>
                <w:rFonts w:ascii="Arial" w:hAnsi="Arial"/>
                <w:b w:val="0"/>
                <w:i w:val="0"/>
                <w:color w:val="1F2937"/>
                <w:sz w:val="14"/>
              </w:rPr>
              <w:t>Year 72</w:t>
            </w:r>
          </w:p>
        </w:tc>
      </w:tr>
    </w:tbl>
    <w:p>
      <w:pPr>
        <w:spacing w:before="60" w:after="0"/>
      </w:pPr>
      <w:r>
        <w:rPr>
          <w:rFonts w:ascii="Arial" w:hAnsi="Arial"/>
          <w:b w:val="0"/>
          <w:i/>
          <w:color w:val="6B7280"/>
          <w:sz w:val="14"/>
        </w:rPr>
        <w:t xml:space="preserve">* RI break-even/payback assumes Rhode Island receives 50% of modeled federal savings; that arrangement is not current law. </w:t>
      </w:r>
      <w:r>
        <w:rPr>
          <w:rFonts w:ascii="Arial" w:hAnsi="Arial"/>
          <w:b w:val="0"/>
          <w:i/>
          <w:color w:val="6B7280"/>
          <w:sz w:val="14"/>
        </w:rPr>
        <w:t>Low and Base scenarios do not reach public payback within the 150-year model horizon. All results are scenario estimates, not forecasts.</w:t>
      </w:r>
    </w:p>
    <w:p>
      <w:pPr>
        <w:spacing w:before="40" w:after="0"/>
      </w:pPr>
      <w:r>
        <w:rPr>
          <w:rFonts w:ascii="Arial" w:hAnsi="Arial"/>
          <w:b/>
          <w:i w:val="0"/>
          <w:color w:val="102A43"/>
          <w:sz w:val="14"/>
        </w:rPr>
        <w:t xml:space="preserve">Implementation note: </w:t>
      </w:r>
      <w:r>
        <w:rPr>
          <w:rFonts w:ascii="Arial" w:hAnsi="Arial"/>
          <w:b w:val="0"/>
          <w:i w:val="0"/>
          <w:color w:val="6B7280"/>
          <w:sz w:val="14"/>
        </w:rPr>
        <w:t>The proposal would require legislation, funding rules, trust administration, and legal review, including constitutional analysis of the sex-based account rules.</w:t>
      </w:r>
    </w:p>
    <w:p>
      <w:pPr>
        <w:spacing w:before="40" w:after="0"/>
      </w:pPr>
      <w:r>
        <w:rPr>
          <w:rFonts w:ascii="Arial" w:hAnsi="Arial"/>
          <w:b/>
          <w:i w:val="0"/>
          <w:color w:val="102A43"/>
          <w:sz w:val="13"/>
        </w:rPr>
        <w:t xml:space="preserve">Rhode Island Baby Bond sources: </w:t>
      </w:r>
      <w:r>
        <w:rPr>
          <w:rFonts w:ascii="Arial" w:hAnsi="Arial"/>
          <w:b w:val="0"/>
          <w:i w:val="0"/>
          <w:color w:val="6B7280"/>
          <w:sz w:val="13"/>
        </w:rPr>
        <w:t>R.I. Gen. Laws ch. 35-24; Rhode Island Office of the General Treasurer, treasury.ri.gov/babybonds. Fiscal results: Women’s Wealth Building Initiative scenario workbook.</w:t>
      </w:r>
    </w:p>
    <w:sectPr w:rsidR="00FC693F" w:rsidRPr="0006063C" w:rsidSect="00034616">
      <w:footerReference w:type="default" r:id="rId9"/>
      <w:pgSz w:w="12240" w:h="15840"/>
      <w:pgMar w:top="518" w:right="605" w:bottom="461" w:left="605" w:header="288" w:footer="25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i w:val="0"/>
        <w:color w:val="102A43"/>
        <w:sz w:val="14"/>
      </w:rPr>
      <w:t>WOMEN’S WEALTH BUILDING INITIATIVE  |  Building Strong Families One Mom at a Time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7" w:lineRule="auto"/>
    </w:pPr>
    <w:rPr>
      <w:rFonts w:ascii="Arial" w:hAnsi="Arial"/>
      <w:color w:val="1F2937"/>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